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1615" w14:textId="77777777" w:rsidR="00F15522" w:rsidRDefault="00F15522" w:rsidP="00D60D7F">
      <w:pPr>
        <w:pStyle w:val="Title"/>
      </w:pPr>
      <w:r>
        <w:rPr>
          <w:noProof/>
        </w:rPr>
        <w:drawing>
          <wp:inline distT="0" distB="0" distL="0" distR="0" wp14:anchorId="7E0E9C92" wp14:editId="11998D9F">
            <wp:extent cx="4700016" cy="6553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00016" cy="655320"/>
                    </a:xfrm>
                    <a:prstGeom prst="rect">
                      <a:avLst/>
                    </a:prstGeom>
                  </pic:spPr>
                </pic:pic>
              </a:graphicData>
            </a:graphic>
          </wp:inline>
        </w:drawing>
      </w:r>
    </w:p>
    <w:p w14:paraId="0550D982" w14:textId="0F2BD4C6" w:rsidR="00F15522" w:rsidRPr="00255D44" w:rsidRDefault="00F15522" w:rsidP="00D60D7F">
      <w:pPr>
        <w:pStyle w:val="Title"/>
      </w:pPr>
      <w:r w:rsidRPr="00255D44">
        <w:t xml:space="preserve">Companion Animal Mycobacterial Infections: </w:t>
      </w:r>
      <w:r w:rsidR="00D60D7F">
        <w:t>Treatment and Zoonotic Risks</w:t>
      </w:r>
    </w:p>
    <w:p w14:paraId="4B7A0343" w14:textId="77777777" w:rsidR="00D60D7F" w:rsidRPr="00D60D7F" w:rsidRDefault="00D60D7F" w:rsidP="00D60D7F">
      <w:pPr>
        <w:spacing w:line="360" w:lineRule="auto"/>
        <w:rPr>
          <w:rFonts w:ascii="Arial" w:hAnsi="Arial" w:cs="Arial"/>
          <w:bCs/>
          <w:sz w:val="20"/>
          <w:szCs w:val="20"/>
        </w:rPr>
      </w:pPr>
    </w:p>
    <w:p w14:paraId="2104A20C" w14:textId="7B7CB1D3" w:rsidR="00D60D7F" w:rsidRDefault="00D60D7F" w:rsidP="00D60D7F">
      <w:pPr>
        <w:spacing w:after="0" w:line="360" w:lineRule="auto"/>
        <w:rPr>
          <w:rFonts w:ascii="Arial" w:hAnsi="Arial" w:cs="Arial"/>
          <w:sz w:val="20"/>
          <w:szCs w:val="20"/>
        </w:rPr>
      </w:pPr>
      <w:r w:rsidRPr="003316DC">
        <w:rPr>
          <w:rFonts w:ascii="Arial" w:hAnsi="Arial" w:cs="Arial"/>
          <w:sz w:val="20"/>
          <w:szCs w:val="20"/>
        </w:rPr>
        <w:t xml:space="preserve">Standard first line therapy for companion animal mycobacterial infections should comprise a </w:t>
      </w:r>
      <w:r w:rsidRPr="00D60D7F">
        <w:rPr>
          <w:rFonts w:ascii="Arial" w:hAnsi="Arial" w:cs="Arial"/>
          <w:sz w:val="20"/>
          <w:szCs w:val="20"/>
        </w:rPr>
        <w:t>fluoroquinolone, a macrolide/azalide and rifampicin</w:t>
      </w:r>
      <w:r>
        <w:rPr>
          <w:rFonts w:ascii="Arial" w:hAnsi="Arial" w:cs="Arial"/>
          <w:sz w:val="20"/>
          <w:szCs w:val="20"/>
        </w:rPr>
        <w:t xml:space="preserve">, as detailed in the table below. In feline infections the preferred combination is pradofloxacin, </w:t>
      </w:r>
      <w:proofErr w:type="spellStart"/>
      <w:r>
        <w:rPr>
          <w:rFonts w:ascii="Arial" w:hAnsi="Arial" w:cs="Arial"/>
          <w:sz w:val="20"/>
          <w:szCs w:val="20"/>
        </w:rPr>
        <w:t>azithyromycin</w:t>
      </w:r>
      <w:proofErr w:type="spellEnd"/>
      <w:r>
        <w:rPr>
          <w:rFonts w:ascii="Arial" w:hAnsi="Arial" w:cs="Arial"/>
          <w:sz w:val="20"/>
          <w:szCs w:val="20"/>
        </w:rPr>
        <w:t xml:space="preserve"> and rifampicin. In dogs it is enrofloxacin, clarithromycin and rifampicin. Treatment needs to continue for two months beyond the resolution of all clinical signs which includes radiographic abnormalities seen at the time of diagnosis. This is why taking thoracic radiographs at the time of diagnosis is so critical. Typically, overall treatment is 3-6 months in duration. </w:t>
      </w:r>
    </w:p>
    <w:p w14:paraId="79BEF6CA" w14:textId="77777777" w:rsidR="00D60D7F" w:rsidRDefault="00D60D7F" w:rsidP="00D60D7F">
      <w:pPr>
        <w:spacing w:after="0" w:line="360" w:lineRule="auto"/>
        <w:rPr>
          <w:rFonts w:ascii="Arial" w:hAnsi="Arial" w:cs="Arial"/>
          <w:sz w:val="20"/>
          <w:szCs w:val="20"/>
        </w:rPr>
      </w:pPr>
    </w:p>
    <w:p w14:paraId="49C96406" w14:textId="587AF63E" w:rsidR="00D60D7F" w:rsidRDefault="00D60D7F" w:rsidP="00D60D7F">
      <w:pPr>
        <w:spacing w:after="0" w:line="360" w:lineRule="auto"/>
        <w:rPr>
          <w:rFonts w:ascii="Arial" w:hAnsi="Arial" w:cs="Arial"/>
          <w:b/>
          <w:bCs/>
          <w:sz w:val="20"/>
          <w:szCs w:val="20"/>
        </w:rPr>
      </w:pPr>
      <w:r w:rsidRPr="00A42A1E">
        <w:rPr>
          <w:rFonts w:ascii="Arial" w:hAnsi="Arial" w:cs="Arial"/>
          <w:sz w:val="20"/>
          <w:szCs w:val="20"/>
        </w:rPr>
        <w:t>While the introduction of rifampicin is usually withheld until confirmation of TB, it should be started as soon as possible. The best results are gained when all three drugs are given together.</w:t>
      </w:r>
      <w:r>
        <w:rPr>
          <w:rFonts w:ascii="Arial" w:hAnsi="Arial" w:cs="Arial"/>
          <w:b/>
          <w:bCs/>
          <w:sz w:val="20"/>
          <w:szCs w:val="20"/>
        </w:rPr>
        <w:t xml:space="preserve"> </w:t>
      </w:r>
    </w:p>
    <w:p w14:paraId="00458776" w14:textId="77777777" w:rsidR="00D60D7F" w:rsidRDefault="00D60D7F" w:rsidP="00D60D7F">
      <w:pPr>
        <w:spacing w:after="0" w:line="360" w:lineRule="auto"/>
        <w:rPr>
          <w:rFonts w:ascii="Arial" w:hAnsi="Arial" w:cs="Arial"/>
          <w:b/>
          <w:bCs/>
          <w:sz w:val="20"/>
          <w:szCs w:val="20"/>
        </w:rPr>
      </w:pPr>
    </w:p>
    <w:p w14:paraId="4E0F26D3" w14:textId="2E0EAF6D" w:rsidR="00D60D7F" w:rsidRDefault="00D60D7F" w:rsidP="00D60D7F">
      <w:pPr>
        <w:spacing w:after="0" w:line="360" w:lineRule="auto"/>
        <w:rPr>
          <w:rFonts w:ascii="Arial" w:hAnsi="Arial" w:cs="Arial"/>
          <w:b/>
          <w:bCs/>
          <w:sz w:val="20"/>
          <w:szCs w:val="20"/>
        </w:rPr>
      </w:pPr>
      <w:r w:rsidRPr="00A42A1E">
        <w:rPr>
          <w:rFonts w:ascii="Arial" w:hAnsi="Arial" w:cs="Arial"/>
          <w:b/>
          <w:bCs/>
          <w:i/>
          <w:iCs/>
          <w:sz w:val="20"/>
          <w:szCs w:val="20"/>
        </w:rPr>
        <w:t>NB</w:t>
      </w:r>
      <w:r>
        <w:rPr>
          <w:rFonts w:ascii="Arial" w:hAnsi="Arial" w:cs="Arial"/>
          <w:b/>
          <w:bCs/>
          <w:sz w:val="20"/>
          <w:szCs w:val="20"/>
        </w:rPr>
        <w:t xml:space="preserve"> W</w:t>
      </w:r>
      <w:r w:rsidRPr="00E21FA4">
        <w:rPr>
          <w:rFonts w:ascii="Arial" w:hAnsi="Arial" w:cs="Arial"/>
          <w:b/>
          <w:bCs/>
          <w:sz w:val="20"/>
          <w:szCs w:val="20"/>
        </w:rPr>
        <w:t xml:space="preserve">e no longer recommend an Introduction phase of 3 drugs, then a Continuation phase of just 2 of them as this gives a much poorer prognosis. </w:t>
      </w:r>
      <w:r>
        <w:rPr>
          <w:rFonts w:ascii="Arial" w:hAnsi="Arial" w:cs="Arial"/>
          <w:b/>
          <w:bCs/>
          <w:sz w:val="20"/>
          <w:szCs w:val="20"/>
        </w:rPr>
        <w:t xml:space="preserve">A combination of the three antibiotics should be continued throughout the course of therapy. </w:t>
      </w:r>
    </w:p>
    <w:p w14:paraId="046CAECF" w14:textId="77777777" w:rsidR="00D60D7F" w:rsidRPr="003316DC" w:rsidRDefault="00D60D7F" w:rsidP="00D60D7F">
      <w:pPr>
        <w:spacing w:after="0" w:line="360" w:lineRule="auto"/>
        <w:rPr>
          <w:rFonts w:ascii="Arial" w:hAnsi="Arial" w:cs="Arial"/>
          <w:sz w:val="20"/>
          <w:szCs w:val="20"/>
        </w:rPr>
      </w:pPr>
    </w:p>
    <w:p w14:paraId="36515507" w14:textId="77777777" w:rsidR="00D60D7F" w:rsidRPr="003316DC" w:rsidRDefault="00D60D7F" w:rsidP="00D60D7F">
      <w:pPr>
        <w:spacing w:after="0" w:line="360" w:lineRule="auto"/>
        <w:rPr>
          <w:rFonts w:ascii="Arial" w:hAnsi="Arial" w:cs="Arial"/>
          <w:sz w:val="20"/>
          <w:szCs w:val="20"/>
        </w:rPr>
      </w:pPr>
      <w:r w:rsidRPr="003316DC">
        <w:rPr>
          <w:rFonts w:ascii="Arial" w:hAnsi="Arial" w:cs="Arial"/>
          <w:sz w:val="20"/>
          <w:szCs w:val="20"/>
        </w:rPr>
        <w:t xml:space="preserve">For cats, the fluoroquinolone of choice is pradofloxacin due to its excellent safety profile and its known </w:t>
      </w:r>
      <w:r w:rsidRPr="003316DC">
        <w:rPr>
          <w:rFonts w:ascii="Arial" w:hAnsi="Arial" w:cs="Arial"/>
          <w:i/>
          <w:sz w:val="20"/>
          <w:szCs w:val="20"/>
        </w:rPr>
        <w:t>in vitro</w:t>
      </w:r>
      <w:r w:rsidRPr="003316DC">
        <w:rPr>
          <w:rFonts w:ascii="Arial" w:hAnsi="Arial" w:cs="Arial"/>
          <w:sz w:val="20"/>
          <w:szCs w:val="20"/>
        </w:rPr>
        <w:t xml:space="preserve"> activity against mycobacteria when compared to older fluoroquinolones</w:t>
      </w:r>
      <w:r>
        <w:rPr>
          <w:rFonts w:ascii="Arial" w:hAnsi="Arial" w:cs="Arial"/>
          <w:sz w:val="20"/>
          <w:szCs w:val="20"/>
        </w:rPr>
        <w:t xml:space="preserve">. </w:t>
      </w:r>
      <w:r w:rsidRPr="003316DC">
        <w:rPr>
          <w:rFonts w:ascii="Arial" w:hAnsi="Arial" w:cs="Arial"/>
          <w:sz w:val="20"/>
          <w:szCs w:val="20"/>
        </w:rPr>
        <w:t xml:space="preserve">Where this is not available the use of marbofloxacin can be considered. Enrofloxacin is </w:t>
      </w:r>
      <w:r w:rsidRPr="00646613">
        <w:rPr>
          <w:rFonts w:ascii="Arial" w:hAnsi="Arial" w:cs="Arial"/>
          <w:b/>
          <w:bCs/>
          <w:sz w:val="20"/>
          <w:szCs w:val="20"/>
        </w:rPr>
        <w:t>unacceptable</w:t>
      </w:r>
      <w:r w:rsidRPr="003316DC">
        <w:rPr>
          <w:rFonts w:ascii="Arial" w:hAnsi="Arial" w:cs="Arial"/>
          <w:sz w:val="20"/>
          <w:szCs w:val="20"/>
        </w:rPr>
        <w:t xml:space="preserve"> </w:t>
      </w:r>
      <w:r>
        <w:rPr>
          <w:rFonts w:ascii="Arial" w:hAnsi="Arial" w:cs="Arial"/>
          <w:sz w:val="20"/>
          <w:szCs w:val="20"/>
        </w:rPr>
        <w:t>for use in</w:t>
      </w:r>
      <w:r w:rsidRPr="003316DC">
        <w:rPr>
          <w:rFonts w:ascii="Arial" w:hAnsi="Arial" w:cs="Arial"/>
          <w:sz w:val="20"/>
          <w:szCs w:val="20"/>
        </w:rPr>
        <w:t xml:space="preserve"> cat</w:t>
      </w:r>
      <w:r>
        <w:rPr>
          <w:rFonts w:ascii="Arial" w:hAnsi="Arial" w:cs="Arial"/>
          <w:sz w:val="20"/>
          <w:szCs w:val="20"/>
        </w:rPr>
        <w:t>s</w:t>
      </w:r>
      <w:r w:rsidRPr="003316DC">
        <w:rPr>
          <w:rFonts w:ascii="Arial" w:hAnsi="Arial" w:cs="Arial"/>
          <w:sz w:val="20"/>
          <w:szCs w:val="20"/>
        </w:rPr>
        <w:t xml:space="preserve"> due to its association with acute irreversible retinopathy however is a good first line agent for dogs.</w:t>
      </w:r>
    </w:p>
    <w:p w14:paraId="6937C85B" w14:textId="066A72AB" w:rsidR="00D60D7F" w:rsidRDefault="00D60D7F" w:rsidP="00D60D7F">
      <w:pPr>
        <w:spacing w:after="0" w:line="360" w:lineRule="auto"/>
        <w:rPr>
          <w:rFonts w:ascii="Arial" w:hAnsi="Arial" w:cs="Arial"/>
          <w:sz w:val="20"/>
          <w:szCs w:val="20"/>
        </w:rPr>
      </w:pPr>
      <w:r w:rsidRPr="003316DC">
        <w:rPr>
          <w:rFonts w:ascii="Arial" w:hAnsi="Arial" w:cs="Arial"/>
          <w:sz w:val="20"/>
          <w:szCs w:val="20"/>
        </w:rPr>
        <w:t xml:space="preserve">The azalide of choice for cats is azithromycin due to a dosage pattern of once every 24 hours which eases adherence to treatment, plus its concentration within pulmonary macrophages. In dogs, clarithromycin is the preferred choice due to the size of tablets available for accurate dosing.  </w:t>
      </w:r>
    </w:p>
    <w:p w14:paraId="3CBDB176" w14:textId="77777777" w:rsidR="00D60D7F" w:rsidRPr="003316DC" w:rsidRDefault="00D60D7F" w:rsidP="00D60D7F">
      <w:pPr>
        <w:spacing w:after="0" w:line="360" w:lineRule="auto"/>
        <w:rPr>
          <w:rFonts w:ascii="Arial" w:hAnsi="Arial" w:cs="Arial"/>
          <w:sz w:val="20"/>
          <w:szCs w:val="20"/>
        </w:rPr>
      </w:pPr>
    </w:p>
    <w:p w14:paraId="4787B9F1" w14:textId="58C07B50" w:rsidR="00D60D7F" w:rsidRDefault="00D60D7F" w:rsidP="00D60D7F">
      <w:pPr>
        <w:spacing w:after="0" w:line="360" w:lineRule="auto"/>
        <w:rPr>
          <w:rFonts w:ascii="Arial" w:hAnsi="Arial" w:cs="Arial"/>
          <w:sz w:val="20"/>
          <w:szCs w:val="20"/>
        </w:rPr>
      </w:pPr>
      <w:r w:rsidRPr="003316DC">
        <w:rPr>
          <w:rFonts w:ascii="Arial" w:hAnsi="Arial" w:cs="Arial"/>
          <w:sz w:val="20"/>
          <w:szCs w:val="20"/>
        </w:rPr>
        <w:t>Rifampicin has long been a cornerstone of anti-tuberculosis, and more general anti-mycobacterial medical therapy</w:t>
      </w:r>
      <w:r>
        <w:rPr>
          <w:rFonts w:ascii="Arial" w:hAnsi="Arial" w:cs="Arial"/>
          <w:sz w:val="20"/>
          <w:szCs w:val="20"/>
        </w:rPr>
        <w:t xml:space="preserve">. </w:t>
      </w:r>
      <w:r w:rsidRPr="003316DC">
        <w:rPr>
          <w:rFonts w:ascii="Arial" w:hAnsi="Arial" w:cs="Arial"/>
          <w:sz w:val="20"/>
          <w:szCs w:val="20"/>
        </w:rPr>
        <w:t xml:space="preserve">Importantly, it has good efficacy against both extracellular mycobacteria as well as those slowly and persistently replicating within macrophages. However, it should </w:t>
      </w:r>
      <w:r w:rsidRPr="002006CB">
        <w:rPr>
          <w:rFonts w:ascii="Arial" w:hAnsi="Arial" w:cs="Arial"/>
          <w:b/>
          <w:sz w:val="20"/>
          <w:szCs w:val="20"/>
        </w:rPr>
        <w:t>never</w:t>
      </w:r>
      <w:r w:rsidRPr="003316DC">
        <w:rPr>
          <w:rFonts w:ascii="Arial" w:hAnsi="Arial" w:cs="Arial"/>
          <w:sz w:val="20"/>
          <w:szCs w:val="20"/>
        </w:rPr>
        <w:t xml:space="preserve"> be used as a monotherapy for mycobacterial disease as resistance develops rapidly. Rifampicin is known to be a potent inducer of the hepatic cytochrome P450 system and so has the potential to be significantly hepatotoxic when used chronically. </w:t>
      </w:r>
    </w:p>
    <w:p w14:paraId="6B47835A" w14:textId="77777777" w:rsidR="00D60D7F" w:rsidRDefault="00D60D7F" w:rsidP="00D60D7F">
      <w:pPr>
        <w:spacing w:after="0" w:line="360" w:lineRule="auto"/>
        <w:rPr>
          <w:rFonts w:ascii="Arial" w:hAnsi="Arial" w:cs="Arial"/>
          <w:sz w:val="20"/>
          <w:szCs w:val="20"/>
        </w:rPr>
      </w:pPr>
    </w:p>
    <w:p w14:paraId="2539040E" w14:textId="77777777" w:rsidR="00D60D7F" w:rsidRDefault="00D60D7F" w:rsidP="00D60D7F">
      <w:pPr>
        <w:spacing w:after="0" w:line="360" w:lineRule="auto"/>
        <w:rPr>
          <w:rFonts w:ascii="Arial" w:hAnsi="Arial" w:cs="Arial"/>
          <w:b/>
          <w:sz w:val="20"/>
          <w:szCs w:val="20"/>
        </w:rPr>
      </w:pPr>
      <w:r>
        <w:rPr>
          <w:rFonts w:ascii="Arial" w:hAnsi="Arial" w:cs="Arial"/>
          <w:b/>
          <w:sz w:val="20"/>
          <w:szCs w:val="20"/>
        </w:rPr>
        <w:t xml:space="preserve">Serum biochemistry should be checked two weeks into treatment or if the patient becomes unwell whilst receiving rifampicin. </w:t>
      </w:r>
    </w:p>
    <w:p w14:paraId="1C0E2A98" w14:textId="23D729F7" w:rsidR="00D60D7F" w:rsidRDefault="00D60D7F" w:rsidP="00D60D7F">
      <w:pPr>
        <w:spacing w:after="0" w:line="360" w:lineRule="auto"/>
        <w:rPr>
          <w:rFonts w:ascii="Arial" w:hAnsi="Arial" w:cs="Arial"/>
          <w:sz w:val="20"/>
          <w:szCs w:val="20"/>
        </w:rPr>
      </w:pPr>
      <w:r w:rsidRPr="003316DC">
        <w:rPr>
          <w:rFonts w:ascii="Arial" w:hAnsi="Arial" w:cs="Arial"/>
          <w:sz w:val="20"/>
          <w:szCs w:val="20"/>
        </w:rPr>
        <w:lastRenderedPageBreak/>
        <w:t xml:space="preserve">Treatment with rifampicin should be stopped if circulating levels of liver enzymes significantly exceed the upper reference interval, hyperbilirubinemia develops, or patients develop clinical signs attributable to hepatic dysfunction. If this occurs treatment should be stopped and once recovered, the rifampicin can be re-introduced at half of the previous dose with close monitoring to ensure the hepatopathy does not recur. </w:t>
      </w:r>
      <w:r>
        <w:rPr>
          <w:rFonts w:ascii="Arial" w:hAnsi="Arial" w:cs="Arial"/>
          <w:sz w:val="20"/>
          <w:szCs w:val="20"/>
        </w:rPr>
        <w:t xml:space="preserve">Liver support such as SAMe can, anecdotally, be helpful in these cases. </w:t>
      </w:r>
    </w:p>
    <w:p w14:paraId="1071AA39" w14:textId="77777777" w:rsidR="00D60D7F" w:rsidRDefault="00D60D7F" w:rsidP="00D60D7F">
      <w:pPr>
        <w:spacing w:after="0" w:line="360" w:lineRule="auto"/>
        <w:rPr>
          <w:rFonts w:ascii="Arial" w:hAnsi="Arial" w:cs="Arial"/>
          <w:sz w:val="20"/>
          <w:szCs w:val="20"/>
        </w:rPr>
      </w:pPr>
    </w:p>
    <w:p w14:paraId="6684D365" w14:textId="739BF6BD" w:rsidR="00D60D7F" w:rsidRDefault="00D60D7F" w:rsidP="00D60D7F">
      <w:pPr>
        <w:spacing w:after="0" w:line="360" w:lineRule="auto"/>
        <w:rPr>
          <w:rFonts w:ascii="Arial" w:hAnsi="Arial" w:cs="Arial"/>
          <w:sz w:val="20"/>
          <w:szCs w:val="20"/>
        </w:rPr>
      </w:pPr>
      <w:r w:rsidRPr="003316DC">
        <w:rPr>
          <w:rFonts w:ascii="Arial" w:hAnsi="Arial" w:cs="Arial"/>
          <w:sz w:val="20"/>
          <w:szCs w:val="20"/>
        </w:rPr>
        <w:t xml:space="preserve">Rifampicin is excreted in all bodily fluids and may cause urine, tears, and saliva to discolour to red-orange in colour. This is not clinically significant, but it can be distressing for clients who are unprepared, especially as there is the potential for the discoloration to be mistaken for haemorrhage. Deposition of the drug within the skin can cause skin discoloration, irritation and, occasionally, hyperesthesia in both cats and dogs. </w:t>
      </w:r>
    </w:p>
    <w:p w14:paraId="4155AD0B" w14:textId="77777777" w:rsidR="00D60D7F" w:rsidRDefault="00D60D7F" w:rsidP="00D60D7F">
      <w:pPr>
        <w:spacing w:after="0" w:line="360" w:lineRule="auto"/>
        <w:rPr>
          <w:rFonts w:ascii="Arial" w:hAnsi="Arial" w:cs="Arial"/>
          <w:sz w:val="20"/>
          <w:szCs w:val="20"/>
        </w:rPr>
      </w:pPr>
    </w:p>
    <w:p w14:paraId="10AEC327" w14:textId="0EDC468E" w:rsidR="00D60D7F" w:rsidRDefault="00D60D7F" w:rsidP="00D60D7F">
      <w:pPr>
        <w:spacing w:after="0" w:line="360" w:lineRule="auto"/>
        <w:rPr>
          <w:rFonts w:ascii="Arial" w:hAnsi="Arial" w:cs="Arial"/>
          <w:sz w:val="20"/>
          <w:szCs w:val="20"/>
        </w:rPr>
      </w:pPr>
      <w:r w:rsidRPr="003316DC">
        <w:rPr>
          <w:rFonts w:ascii="Arial" w:hAnsi="Arial" w:cs="Arial"/>
          <w:sz w:val="20"/>
          <w:szCs w:val="20"/>
        </w:rPr>
        <w:t>Rifampicin is a potential teratogen and so should only be handled by owners wearing gloves and should not be administered to pregnant queens.</w:t>
      </w:r>
    </w:p>
    <w:p w14:paraId="338B7AF8" w14:textId="77777777" w:rsidR="00D60D7F" w:rsidRPr="003316DC" w:rsidRDefault="00D60D7F" w:rsidP="00D60D7F">
      <w:pPr>
        <w:spacing w:after="0" w:line="360" w:lineRule="auto"/>
        <w:rPr>
          <w:rFonts w:ascii="Arial" w:hAnsi="Arial" w:cs="Arial"/>
          <w:sz w:val="20"/>
          <w:szCs w:val="20"/>
        </w:rPr>
      </w:pPr>
    </w:p>
    <w:p w14:paraId="1B817381" w14:textId="22501F15" w:rsidR="00D60D7F" w:rsidRDefault="00D60D7F" w:rsidP="00D60D7F">
      <w:pPr>
        <w:spacing w:after="0" w:line="360" w:lineRule="auto"/>
        <w:rPr>
          <w:rFonts w:ascii="Arial" w:hAnsi="Arial" w:cs="Arial"/>
          <w:sz w:val="20"/>
          <w:szCs w:val="20"/>
        </w:rPr>
      </w:pPr>
      <w:r>
        <w:rPr>
          <w:rFonts w:ascii="Arial" w:hAnsi="Arial" w:cs="Arial"/>
          <w:b/>
          <w:sz w:val="20"/>
          <w:szCs w:val="20"/>
        </w:rPr>
        <w:t>Table</w:t>
      </w:r>
      <w:r w:rsidRPr="003316DC">
        <w:rPr>
          <w:rFonts w:ascii="Arial" w:hAnsi="Arial" w:cs="Arial"/>
          <w:b/>
          <w:sz w:val="20"/>
          <w:szCs w:val="20"/>
        </w:rPr>
        <w:t>:</w:t>
      </w:r>
      <w:r w:rsidRPr="003316DC">
        <w:rPr>
          <w:rFonts w:ascii="Arial" w:hAnsi="Arial" w:cs="Arial"/>
          <w:sz w:val="20"/>
          <w:szCs w:val="20"/>
        </w:rPr>
        <w:t xml:space="preserve"> First-line anti-tuberculous medications; a triple combination comprising one of the fluoroquinolones, a macrolide/azalide and rifampicin is frequently used.</w:t>
      </w:r>
      <w:r w:rsidRPr="003316DC">
        <w:rPr>
          <w:rFonts w:ascii="Arial" w:hAnsi="Arial" w:cs="Arial"/>
          <w:sz w:val="20"/>
          <w:szCs w:val="20"/>
          <w:vertAlign w:val="superscript"/>
        </w:rPr>
        <w:t>285</w:t>
      </w:r>
      <w:r w:rsidRPr="003316DC">
        <w:rPr>
          <w:rFonts w:ascii="Arial" w:hAnsi="Arial" w:cs="Arial"/>
          <w:sz w:val="20"/>
          <w:szCs w:val="20"/>
        </w:rPr>
        <w:t xml:space="preserve"> </w:t>
      </w:r>
    </w:p>
    <w:p w14:paraId="76C52EAF" w14:textId="77777777" w:rsidR="00D60D7F" w:rsidRPr="003316DC" w:rsidRDefault="00D60D7F" w:rsidP="00D60D7F">
      <w:pPr>
        <w:spacing w:after="0" w:line="360" w:lineRule="auto"/>
        <w:rPr>
          <w:rFonts w:ascii="Arial" w:hAnsi="Arial" w:cs="Arial"/>
          <w:sz w:val="20"/>
          <w:szCs w:val="20"/>
        </w:rPr>
      </w:pPr>
    </w:p>
    <w:tbl>
      <w:tblPr>
        <w:tblStyle w:val="GridTable1Light"/>
        <w:tblW w:w="5425" w:type="pct"/>
        <w:tblInd w:w="-431" w:type="dxa"/>
        <w:tblLook w:val="04A0" w:firstRow="1" w:lastRow="0" w:firstColumn="1" w:lastColumn="0" w:noHBand="0" w:noVBand="1"/>
      </w:tblPr>
      <w:tblGrid>
        <w:gridCol w:w="1703"/>
        <w:gridCol w:w="1558"/>
        <w:gridCol w:w="1419"/>
        <w:gridCol w:w="2551"/>
        <w:gridCol w:w="2551"/>
      </w:tblGrid>
      <w:tr w:rsidR="00D60D7F" w:rsidRPr="003316DC" w14:paraId="64919D1C" w14:textId="77777777" w:rsidTr="00D60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pct"/>
          </w:tcPr>
          <w:p w14:paraId="5038E884" w14:textId="77777777" w:rsidR="00D60D7F" w:rsidRPr="003316DC" w:rsidRDefault="00D60D7F" w:rsidP="00D60D7F">
            <w:pPr>
              <w:spacing w:line="360" w:lineRule="auto"/>
              <w:rPr>
                <w:rFonts w:ascii="Arial" w:hAnsi="Arial" w:cs="Arial"/>
                <w:sz w:val="20"/>
                <w:szCs w:val="20"/>
              </w:rPr>
            </w:pPr>
            <w:r w:rsidRPr="003316DC">
              <w:rPr>
                <w:rFonts w:ascii="Arial" w:hAnsi="Arial" w:cs="Arial"/>
                <w:sz w:val="20"/>
                <w:szCs w:val="20"/>
              </w:rPr>
              <w:t>Drug</w:t>
            </w:r>
          </w:p>
        </w:tc>
        <w:tc>
          <w:tcPr>
            <w:tcW w:w="796" w:type="pct"/>
          </w:tcPr>
          <w:p w14:paraId="323CE2D3" w14:textId="77777777" w:rsidR="00D60D7F" w:rsidRPr="003316DC" w:rsidRDefault="00D60D7F" w:rsidP="00D60D7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Product</w:t>
            </w:r>
          </w:p>
        </w:tc>
        <w:tc>
          <w:tcPr>
            <w:tcW w:w="725" w:type="pct"/>
          </w:tcPr>
          <w:p w14:paraId="64D68E71" w14:textId="77777777" w:rsidR="00D60D7F" w:rsidRPr="003316DC" w:rsidRDefault="00D60D7F" w:rsidP="00D60D7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 xml:space="preserve">Dosing </w:t>
            </w:r>
          </w:p>
        </w:tc>
        <w:tc>
          <w:tcPr>
            <w:tcW w:w="1304" w:type="pct"/>
          </w:tcPr>
          <w:p w14:paraId="1623846F" w14:textId="77777777" w:rsidR="00D60D7F" w:rsidRPr="003316DC" w:rsidRDefault="00D60D7F" w:rsidP="00D60D7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Contraindications</w:t>
            </w:r>
          </w:p>
        </w:tc>
        <w:tc>
          <w:tcPr>
            <w:tcW w:w="1304" w:type="pct"/>
          </w:tcPr>
          <w:p w14:paraId="6B9C41B5" w14:textId="77777777" w:rsidR="00D60D7F" w:rsidRPr="003316DC" w:rsidRDefault="00D60D7F" w:rsidP="00D60D7F">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Side Effects</w:t>
            </w:r>
          </w:p>
        </w:tc>
      </w:tr>
      <w:tr w:rsidR="00D60D7F" w:rsidRPr="003316DC" w14:paraId="137D760A" w14:textId="77777777" w:rsidTr="00D60D7F">
        <w:tc>
          <w:tcPr>
            <w:cnfStyle w:val="001000000000" w:firstRow="0" w:lastRow="0" w:firstColumn="1" w:lastColumn="0" w:oddVBand="0" w:evenVBand="0" w:oddHBand="0" w:evenHBand="0" w:firstRowFirstColumn="0" w:firstRowLastColumn="0" w:lastRowFirstColumn="0" w:lastRowLastColumn="0"/>
            <w:tcW w:w="870" w:type="pct"/>
          </w:tcPr>
          <w:p w14:paraId="41452BCA" w14:textId="77777777" w:rsidR="00D60D7F" w:rsidRPr="003316DC" w:rsidRDefault="00D60D7F" w:rsidP="00D60D7F">
            <w:pPr>
              <w:rPr>
                <w:rFonts w:ascii="Arial" w:hAnsi="Arial" w:cs="Arial"/>
                <w:sz w:val="20"/>
                <w:szCs w:val="20"/>
              </w:rPr>
            </w:pPr>
            <w:r w:rsidRPr="003316DC">
              <w:rPr>
                <w:rFonts w:ascii="Arial" w:hAnsi="Arial" w:cs="Arial"/>
                <w:sz w:val="20"/>
                <w:szCs w:val="20"/>
              </w:rPr>
              <w:t>Pradofloxacin</w:t>
            </w:r>
          </w:p>
        </w:tc>
        <w:tc>
          <w:tcPr>
            <w:tcW w:w="796" w:type="pct"/>
          </w:tcPr>
          <w:p w14:paraId="15ADBE73"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316DC">
              <w:rPr>
                <w:rFonts w:ascii="Arial" w:hAnsi="Arial" w:cs="Arial"/>
                <w:sz w:val="20"/>
                <w:szCs w:val="20"/>
              </w:rPr>
              <w:t>Veraflox</w:t>
            </w:r>
            <w:proofErr w:type="spellEnd"/>
            <w:r w:rsidRPr="003316DC">
              <w:rPr>
                <w:rFonts w:ascii="Arial" w:hAnsi="Arial" w:cs="Arial"/>
                <w:sz w:val="20"/>
                <w:szCs w:val="20"/>
              </w:rPr>
              <w:t>™</w:t>
            </w:r>
          </w:p>
          <w:p w14:paraId="457001FE"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25mg/ml suspension or 15mg tablets</w:t>
            </w:r>
          </w:p>
        </w:tc>
        <w:tc>
          <w:tcPr>
            <w:tcW w:w="725" w:type="pct"/>
          </w:tcPr>
          <w:p w14:paraId="75093A4C"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3-5</w:t>
            </w:r>
            <w:r w:rsidRPr="003316DC">
              <w:rPr>
                <w:rFonts w:ascii="Arial" w:hAnsi="Arial" w:cs="Arial"/>
                <w:sz w:val="20"/>
                <w:szCs w:val="20"/>
              </w:rPr>
              <w:t>mg/kg PO</w:t>
            </w:r>
          </w:p>
          <w:p w14:paraId="7E0E6B51"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 xml:space="preserve">q 24 hours </w:t>
            </w:r>
            <w:r>
              <w:rPr>
                <w:rFonts w:ascii="Arial" w:hAnsi="Arial" w:cs="Arial"/>
                <w:sz w:val="20"/>
                <w:szCs w:val="20"/>
              </w:rPr>
              <w:t>(doses up to 7.5mg/kg have been reported as safe).</w:t>
            </w:r>
          </w:p>
        </w:tc>
        <w:tc>
          <w:tcPr>
            <w:tcW w:w="1304" w:type="pct"/>
          </w:tcPr>
          <w:p w14:paraId="0A38106B"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Not in dogs &lt;12 months of age (18 months in giant breeds) or cats &lt;6 weeks of age due to potential adverse effects on cartilage. Do not use in animals with epilepsy.</w:t>
            </w:r>
          </w:p>
        </w:tc>
        <w:tc>
          <w:tcPr>
            <w:tcW w:w="1304" w:type="pct"/>
          </w:tcPr>
          <w:p w14:paraId="23DA9471"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Neutropenia (not clinically significant) with high doses and/or long courses.</w:t>
            </w:r>
          </w:p>
        </w:tc>
      </w:tr>
      <w:tr w:rsidR="00D60D7F" w:rsidRPr="003316DC" w14:paraId="544A1B67" w14:textId="77777777" w:rsidTr="00D60D7F">
        <w:tc>
          <w:tcPr>
            <w:cnfStyle w:val="001000000000" w:firstRow="0" w:lastRow="0" w:firstColumn="1" w:lastColumn="0" w:oddVBand="0" w:evenVBand="0" w:oddHBand="0" w:evenHBand="0" w:firstRowFirstColumn="0" w:firstRowLastColumn="0" w:lastRowFirstColumn="0" w:lastRowLastColumn="0"/>
            <w:tcW w:w="870" w:type="pct"/>
          </w:tcPr>
          <w:p w14:paraId="4F261FF2" w14:textId="77777777" w:rsidR="00D60D7F" w:rsidRPr="003316DC" w:rsidRDefault="00D60D7F" w:rsidP="00D60D7F">
            <w:pPr>
              <w:rPr>
                <w:rFonts w:ascii="Arial" w:hAnsi="Arial" w:cs="Arial"/>
                <w:sz w:val="20"/>
                <w:szCs w:val="20"/>
              </w:rPr>
            </w:pPr>
            <w:r w:rsidRPr="003316DC">
              <w:rPr>
                <w:rFonts w:ascii="Arial" w:hAnsi="Arial" w:cs="Arial"/>
                <w:sz w:val="20"/>
                <w:szCs w:val="20"/>
              </w:rPr>
              <w:t>Marbofloxacin</w:t>
            </w:r>
          </w:p>
        </w:tc>
        <w:tc>
          <w:tcPr>
            <w:tcW w:w="796" w:type="pct"/>
          </w:tcPr>
          <w:p w14:paraId="04A4573E"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316DC">
              <w:rPr>
                <w:rFonts w:ascii="Arial" w:hAnsi="Arial" w:cs="Arial"/>
                <w:sz w:val="20"/>
                <w:szCs w:val="20"/>
              </w:rPr>
              <w:t>Marbocyl</w:t>
            </w:r>
            <w:proofErr w:type="spellEnd"/>
            <w:r w:rsidRPr="003316DC">
              <w:rPr>
                <w:rFonts w:ascii="Arial" w:hAnsi="Arial" w:cs="Arial"/>
                <w:sz w:val="20"/>
                <w:szCs w:val="20"/>
              </w:rPr>
              <w:t>™ 20mg tablets</w:t>
            </w:r>
          </w:p>
        </w:tc>
        <w:tc>
          <w:tcPr>
            <w:tcW w:w="725" w:type="pct"/>
          </w:tcPr>
          <w:p w14:paraId="2FB38E36"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 xml:space="preserve">2mg/kg PO q 24 hours </w:t>
            </w:r>
          </w:p>
        </w:tc>
        <w:tc>
          <w:tcPr>
            <w:tcW w:w="1304" w:type="pct"/>
          </w:tcPr>
          <w:p w14:paraId="1663794C"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As for pradofloxacin.</w:t>
            </w:r>
          </w:p>
        </w:tc>
        <w:tc>
          <w:tcPr>
            <w:tcW w:w="1304" w:type="pct"/>
          </w:tcPr>
          <w:p w14:paraId="01311D9F"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Intermittent vomiting and transient diarrhoea on instigation of treatment.</w:t>
            </w:r>
          </w:p>
        </w:tc>
      </w:tr>
      <w:tr w:rsidR="00D60D7F" w:rsidRPr="003316DC" w14:paraId="6EDE4092" w14:textId="77777777" w:rsidTr="00D60D7F">
        <w:tc>
          <w:tcPr>
            <w:cnfStyle w:val="001000000000" w:firstRow="0" w:lastRow="0" w:firstColumn="1" w:lastColumn="0" w:oddVBand="0" w:evenVBand="0" w:oddHBand="0" w:evenHBand="0" w:firstRowFirstColumn="0" w:firstRowLastColumn="0" w:lastRowFirstColumn="0" w:lastRowLastColumn="0"/>
            <w:tcW w:w="870" w:type="pct"/>
          </w:tcPr>
          <w:p w14:paraId="3A0A1290" w14:textId="77777777" w:rsidR="00D60D7F" w:rsidRPr="003316DC" w:rsidRDefault="00D60D7F" w:rsidP="00D60D7F">
            <w:pPr>
              <w:rPr>
                <w:rFonts w:ascii="Arial" w:hAnsi="Arial" w:cs="Arial"/>
                <w:sz w:val="20"/>
                <w:szCs w:val="20"/>
              </w:rPr>
            </w:pPr>
            <w:r w:rsidRPr="003316DC">
              <w:rPr>
                <w:rFonts w:ascii="Arial" w:hAnsi="Arial" w:cs="Arial"/>
                <w:sz w:val="20"/>
                <w:szCs w:val="20"/>
              </w:rPr>
              <w:t>Azithromycin</w:t>
            </w:r>
          </w:p>
        </w:tc>
        <w:tc>
          <w:tcPr>
            <w:tcW w:w="796" w:type="pct"/>
          </w:tcPr>
          <w:p w14:paraId="2F7702F1"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Zithromax™</w:t>
            </w:r>
          </w:p>
          <w:p w14:paraId="03B8AF39"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250mg capsule</w:t>
            </w:r>
          </w:p>
          <w:p w14:paraId="5F26BEC0"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50mg/ml suspension</w:t>
            </w:r>
          </w:p>
        </w:tc>
        <w:tc>
          <w:tcPr>
            <w:tcW w:w="725" w:type="pct"/>
          </w:tcPr>
          <w:p w14:paraId="6C70A98F"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 xml:space="preserve">5-15mg/kg PO q 24 hours </w:t>
            </w:r>
          </w:p>
        </w:tc>
        <w:tc>
          <w:tcPr>
            <w:tcW w:w="1304" w:type="pct"/>
          </w:tcPr>
          <w:p w14:paraId="3925BCAC"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Pre-existing cardiopathy esp. arrhythmogenic diseases.</w:t>
            </w:r>
          </w:p>
          <w:p w14:paraId="77C3F7B6"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Pre-existing hepatopathy.</w:t>
            </w:r>
          </w:p>
        </w:tc>
        <w:tc>
          <w:tcPr>
            <w:tcW w:w="1304" w:type="pct"/>
          </w:tcPr>
          <w:p w14:paraId="3402EA2B"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Intermittent vomiting and diarrhoea possible but uncommon.</w:t>
            </w:r>
          </w:p>
        </w:tc>
      </w:tr>
      <w:tr w:rsidR="00D60D7F" w:rsidRPr="003316DC" w14:paraId="45B31030" w14:textId="77777777" w:rsidTr="00D60D7F">
        <w:tc>
          <w:tcPr>
            <w:cnfStyle w:val="001000000000" w:firstRow="0" w:lastRow="0" w:firstColumn="1" w:lastColumn="0" w:oddVBand="0" w:evenVBand="0" w:oddHBand="0" w:evenHBand="0" w:firstRowFirstColumn="0" w:firstRowLastColumn="0" w:lastRowFirstColumn="0" w:lastRowLastColumn="0"/>
            <w:tcW w:w="870" w:type="pct"/>
          </w:tcPr>
          <w:p w14:paraId="5F600FC8" w14:textId="77777777" w:rsidR="00D60D7F" w:rsidRPr="003316DC" w:rsidRDefault="00D60D7F" w:rsidP="00D60D7F">
            <w:pPr>
              <w:rPr>
                <w:rFonts w:ascii="Arial" w:hAnsi="Arial" w:cs="Arial"/>
                <w:sz w:val="20"/>
                <w:szCs w:val="20"/>
              </w:rPr>
            </w:pPr>
            <w:r w:rsidRPr="003316DC">
              <w:rPr>
                <w:rFonts w:ascii="Arial" w:hAnsi="Arial" w:cs="Arial"/>
                <w:sz w:val="20"/>
                <w:szCs w:val="20"/>
              </w:rPr>
              <w:t>Clarithromycin</w:t>
            </w:r>
          </w:p>
        </w:tc>
        <w:tc>
          <w:tcPr>
            <w:tcW w:w="796" w:type="pct"/>
          </w:tcPr>
          <w:p w14:paraId="034A577B"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i/>
                <w:sz w:val="20"/>
                <w:szCs w:val="20"/>
              </w:rPr>
              <w:t>Generic</w:t>
            </w:r>
          </w:p>
          <w:p w14:paraId="560ACBC5"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500mg tablet</w:t>
            </w:r>
          </w:p>
          <w:p w14:paraId="77382659"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50mg/ml suspension</w:t>
            </w:r>
          </w:p>
        </w:tc>
        <w:tc>
          <w:tcPr>
            <w:tcW w:w="725" w:type="pct"/>
          </w:tcPr>
          <w:p w14:paraId="402416BF"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 xml:space="preserve">7.5mg/kg PO q 12 hours </w:t>
            </w:r>
          </w:p>
        </w:tc>
        <w:tc>
          <w:tcPr>
            <w:tcW w:w="1304" w:type="pct"/>
          </w:tcPr>
          <w:p w14:paraId="43898550"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Concurrent use of NSAIDs or antacids.</w:t>
            </w:r>
          </w:p>
          <w:p w14:paraId="0DCC256F"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Pre-existing hepatopathy.</w:t>
            </w:r>
          </w:p>
        </w:tc>
        <w:tc>
          <w:tcPr>
            <w:tcW w:w="1304" w:type="pct"/>
          </w:tcPr>
          <w:p w14:paraId="6BC4BEDB"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 xml:space="preserve">Pinnal erythema. </w:t>
            </w:r>
          </w:p>
          <w:p w14:paraId="75DAC5DA"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Generalized erythema.</w:t>
            </w:r>
          </w:p>
          <w:p w14:paraId="64E5246B"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Hepatotoxicity.</w:t>
            </w:r>
          </w:p>
        </w:tc>
      </w:tr>
      <w:tr w:rsidR="00D60D7F" w:rsidRPr="003316DC" w14:paraId="5DFEB0DA" w14:textId="77777777" w:rsidTr="00D60D7F">
        <w:tc>
          <w:tcPr>
            <w:cnfStyle w:val="001000000000" w:firstRow="0" w:lastRow="0" w:firstColumn="1" w:lastColumn="0" w:oddVBand="0" w:evenVBand="0" w:oddHBand="0" w:evenHBand="0" w:firstRowFirstColumn="0" w:firstRowLastColumn="0" w:lastRowFirstColumn="0" w:lastRowLastColumn="0"/>
            <w:tcW w:w="870" w:type="pct"/>
          </w:tcPr>
          <w:p w14:paraId="0180C9D3" w14:textId="77777777" w:rsidR="00D60D7F" w:rsidRPr="003316DC" w:rsidRDefault="00D60D7F" w:rsidP="00D60D7F">
            <w:pPr>
              <w:rPr>
                <w:rFonts w:ascii="Arial" w:hAnsi="Arial" w:cs="Arial"/>
                <w:sz w:val="20"/>
                <w:szCs w:val="20"/>
              </w:rPr>
            </w:pPr>
            <w:r w:rsidRPr="003316DC">
              <w:rPr>
                <w:rFonts w:ascii="Arial" w:hAnsi="Arial" w:cs="Arial"/>
                <w:sz w:val="20"/>
                <w:szCs w:val="20"/>
              </w:rPr>
              <w:t>Rifampicin</w:t>
            </w:r>
          </w:p>
        </w:tc>
        <w:tc>
          <w:tcPr>
            <w:tcW w:w="796" w:type="pct"/>
          </w:tcPr>
          <w:p w14:paraId="44CB4299"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316DC">
              <w:rPr>
                <w:rFonts w:ascii="Arial" w:hAnsi="Arial" w:cs="Arial"/>
                <w:sz w:val="20"/>
                <w:szCs w:val="20"/>
              </w:rPr>
              <w:t>Rifadin</w:t>
            </w:r>
            <w:proofErr w:type="spellEnd"/>
            <w:r w:rsidRPr="003316DC">
              <w:rPr>
                <w:rFonts w:ascii="Arial" w:hAnsi="Arial" w:cs="Arial"/>
                <w:sz w:val="20"/>
                <w:szCs w:val="20"/>
              </w:rPr>
              <w:t>™ 300mg capsule</w:t>
            </w:r>
          </w:p>
          <w:p w14:paraId="44C6C219"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20mg/ml suspension</w:t>
            </w:r>
          </w:p>
          <w:p w14:paraId="18110836"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5" w:type="pct"/>
          </w:tcPr>
          <w:p w14:paraId="6074ABE6" w14:textId="77777777" w:rsidR="00D60D7F" w:rsidRPr="003316DC" w:rsidRDefault="00D60D7F" w:rsidP="00D60D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5-10 mg/kg PO q 24 hours by mouth</w:t>
            </w:r>
          </w:p>
        </w:tc>
        <w:tc>
          <w:tcPr>
            <w:tcW w:w="1304" w:type="pct"/>
          </w:tcPr>
          <w:p w14:paraId="76F37DCE"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Pre-existing hepatopathy.</w:t>
            </w:r>
          </w:p>
          <w:p w14:paraId="762E2D36"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46613">
              <w:rPr>
                <w:rFonts w:ascii="Arial" w:hAnsi="Arial" w:cs="Arial"/>
                <w:b/>
                <w:bCs/>
                <w:sz w:val="20"/>
                <w:szCs w:val="20"/>
              </w:rPr>
              <w:t>Tetratogenic</w:t>
            </w:r>
            <w:proofErr w:type="spellEnd"/>
            <w:r w:rsidRPr="00646613">
              <w:rPr>
                <w:rFonts w:ascii="Arial" w:hAnsi="Arial" w:cs="Arial"/>
                <w:b/>
                <w:bCs/>
                <w:sz w:val="20"/>
                <w:szCs w:val="20"/>
              </w:rPr>
              <w:t xml:space="preserve"> –</w:t>
            </w:r>
            <w:r>
              <w:rPr>
                <w:rFonts w:ascii="Arial" w:hAnsi="Arial" w:cs="Arial"/>
                <w:sz w:val="20"/>
                <w:szCs w:val="20"/>
              </w:rPr>
              <w:t xml:space="preserve"> avoid use in p</w:t>
            </w:r>
            <w:r w:rsidRPr="003316DC">
              <w:rPr>
                <w:rFonts w:ascii="Arial" w:hAnsi="Arial" w:cs="Arial"/>
                <w:sz w:val="20"/>
                <w:szCs w:val="20"/>
              </w:rPr>
              <w:t>regnant queens</w:t>
            </w:r>
            <w:r>
              <w:rPr>
                <w:rFonts w:ascii="Arial" w:hAnsi="Arial" w:cs="Arial"/>
                <w:sz w:val="20"/>
                <w:szCs w:val="20"/>
              </w:rPr>
              <w:t xml:space="preserve">. Owners should wear gloves and ideally pregnant people should avoid handling at all. </w:t>
            </w:r>
          </w:p>
        </w:tc>
        <w:tc>
          <w:tcPr>
            <w:tcW w:w="1304" w:type="pct"/>
          </w:tcPr>
          <w:p w14:paraId="648967AD"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Hepatotoxicity; induction of liver enzymes, anorexia, generalized erythema and pruritus.</w:t>
            </w:r>
          </w:p>
          <w:p w14:paraId="065B49D1"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316DC">
              <w:rPr>
                <w:rFonts w:ascii="Arial" w:hAnsi="Arial" w:cs="Arial"/>
                <w:sz w:val="20"/>
                <w:szCs w:val="20"/>
              </w:rPr>
              <w:t>CNS</w:t>
            </w:r>
            <w:r w:rsidRPr="003316DC">
              <w:rPr>
                <w:rFonts w:ascii="Arial" w:hAnsi="Arial" w:cs="Arial"/>
                <w:sz w:val="20"/>
                <w:szCs w:val="20"/>
                <w:vertAlign w:val="superscript"/>
              </w:rPr>
              <w:t>a</w:t>
            </w:r>
            <w:proofErr w:type="spellEnd"/>
            <w:r w:rsidRPr="003316DC">
              <w:rPr>
                <w:rFonts w:ascii="Arial" w:hAnsi="Arial" w:cs="Arial"/>
                <w:sz w:val="20"/>
                <w:szCs w:val="20"/>
              </w:rPr>
              <w:t xml:space="preserve"> signs. </w:t>
            </w:r>
          </w:p>
          <w:p w14:paraId="772B94F7" w14:textId="77777777" w:rsidR="00D60D7F" w:rsidRPr="003316DC" w:rsidRDefault="00D60D7F" w:rsidP="00D60D7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16DC">
              <w:rPr>
                <w:rFonts w:ascii="Arial" w:hAnsi="Arial" w:cs="Arial"/>
                <w:sz w:val="20"/>
                <w:szCs w:val="20"/>
              </w:rPr>
              <w:t>Discoloration of body fluids.</w:t>
            </w:r>
          </w:p>
        </w:tc>
      </w:tr>
    </w:tbl>
    <w:p w14:paraId="6FB3221B" w14:textId="77777777" w:rsidR="00D60D7F" w:rsidRPr="00D60D7F" w:rsidRDefault="00D60D7F" w:rsidP="00D60D7F">
      <w:pPr>
        <w:spacing w:after="0" w:line="360" w:lineRule="auto"/>
        <w:rPr>
          <w:rFonts w:ascii="Arial" w:hAnsi="Arial" w:cs="Arial"/>
          <w:sz w:val="16"/>
          <w:szCs w:val="16"/>
        </w:rPr>
      </w:pPr>
    </w:p>
    <w:p w14:paraId="31FBF242" w14:textId="583AD3FA" w:rsidR="00D60D7F" w:rsidRDefault="00D60D7F" w:rsidP="00D60D7F">
      <w:pPr>
        <w:spacing w:after="0" w:line="360" w:lineRule="auto"/>
        <w:rPr>
          <w:rFonts w:ascii="Arial" w:hAnsi="Arial" w:cs="Arial"/>
          <w:sz w:val="20"/>
          <w:szCs w:val="20"/>
        </w:rPr>
      </w:pPr>
      <w:r w:rsidRPr="003316DC">
        <w:rPr>
          <w:rFonts w:ascii="Arial" w:hAnsi="Arial" w:cs="Arial"/>
          <w:sz w:val="20"/>
          <w:szCs w:val="20"/>
        </w:rPr>
        <w:t xml:space="preserve">PO; </w:t>
      </w:r>
      <w:r w:rsidRPr="003316DC">
        <w:rPr>
          <w:rFonts w:ascii="Arial" w:hAnsi="Arial" w:cs="Arial"/>
          <w:i/>
          <w:sz w:val="20"/>
          <w:szCs w:val="20"/>
        </w:rPr>
        <w:t xml:space="preserve">per </w:t>
      </w:r>
      <w:proofErr w:type="spellStart"/>
      <w:r w:rsidRPr="003316DC">
        <w:rPr>
          <w:rFonts w:ascii="Arial" w:hAnsi="Arial" w:cs="Arial"/>
          <w:i/>
          <w:sz w:val="20"/>
          <w:szCs w:val="20"/>
        </w:rPr>
        <w:t>os</w:t>
      </w:r>
      <w:proofErr w:type="spellEnd"/>
      <w:r w:rsidRPr="003316DC">
        <w:rPr>
          <w:rFonts w:ascii="Arial" w:hAnsi="Arial" w:cs="Arial"/>
          <w:i/>
          <w:sz w:val="20"/>
          <w:szCs w:val="20"/>
        </w:rPr>
        <w:t xml:space="preserve"> </w:t>
      </w:r>
      <w:r w:rsidRPr="003316DC">
        <w:rPr>
          <w:rFonts w:ascii="Arial" w:hAnsi="Arial" w:cs="Arial"/>
          <w:sz w:val="20"/>
          <w:szCs w:val="20"/>
          <w:vertAlign w:val="superscript"/>
        </w:rPr>
        <w:t xml:space="preserve">a </w:t>
      </w:r>
      <w:r w:rsidRPr="003316DC">
        <w:rPr>
          <w:rFonts w:ascii="Arial" w:hAnsi="Arial" w:cs="Arial"/>
          <w:sz w:val="20"/>
          <w:szCs w:val="20"/>
        </w:rPr>
        <w:t xml:space="preserve">Central nervous system </w:t>
      </w:r>
      <w:r w:rsidRPr="003316DC">
        <w:rPr>
          <w:rFonts w:ascii="Arial" w:hAnsi="Arial" w:cs="Arial"/>
          <w:sz w:val="20"/>
          <w:szCs w:val="20"/>
          <w:vertAlign w:val="superscript"/>
        </w:rPr>
        <w:t xml:space="preserve">b </w:t>
      </w:r>
      <w:r w:rsidRPr="003316DC">
        <w:rPr>
          <w:rFonts w:ascii="Arial" w:hAnsi="Arial" w:cs="Arial"/>
          <w:sz w:val="20"/>
          <w:szCs w:val="20"/>
        </w:rPr>
        <w:t>NSAIDs; non-steroidal anti-inflammatory drugs.</w:t>
      </w:r>
      <w:r>
        <w:rPr>
          <w:rFonts w:ascii="Arial" w:hAnsi="Arial" w:cs="Arial"/>
          <w:sz w:val="20"/>
          <w:szCs w:val="20"/>
        </w:rPr>
        <w:br w:type="page"/>
      </w:r>
    </w:p>
    <w:p w14:paraId="66177412" w14:textId="36371C2B" w:rsidR="00D60D7F" w:rsidRDefault="00D60D7F" w:rsidP="00D60D7F">
      <w:pPr>
        <w:spacing w:after="0" w:line="360" w:lineRule="auto"/>
        <w:rPr>
          <w:rFonts w:ascii="Arial" w:hAnsi="Arial" w:cs="Arial"/>
          <w:bCs/>
          <w:sz w:val="20"/>
          <w:szCs w:val="20"/>
          <w:shd w:val="clear" w:color="auto" w:fill="FFFFFF"/>
        </w:rPr>
      </w:pPr>
      <w:r w:rsidRPr="003316DC">
        <w:rPr>
          <w:rFonts w:ascii="Arial" w:hAnsi="Arial" w:cs="Arial"/>
          <w:bCs/>
          <w:sz w:val="20"/>
          <w:szCs w:val="20"/>
          <w:shd w:val="clear" w:color="auto" w:fill="FFFFFF"/>
        </w:rPr>
        <w:lastRenderedPageBreak/>
        <w:t xml:space="preserve">Treatment should be given for at least three months and for two months beyond the resolution of clinical signs (including radiographic or ultrasonographic abnormalities), whichever is longer. </w:t>
      </w:r>
      <w:r>
        <w:rPr>
          <w:rFonts w:ascii="Arial" w:hAnsi="Arial" w:cs="Arial"/>
          <w:bCs/>
          <w:sz w:val="20"/>
          <w:szCs w:val="20"/>
          <w:shd w:val="clear" w:color="auto" w:fill="FFFFFF"/>
        </w:rPr>
        <w:t xml:space="preserve">This means that on average, cases with skin and lymph node involvement typically require three months of treatment whereas those with pulmonary changes as well or other systemic spread usually require upwards of six months to ensure resolution. </w:t>
      </w:r>
      <w:r w:rsidRPr="003316DC">
        <w:rPr>
          <w:rFonts w:ascii="Arial" w:hAnsi="Arial" w:cs="Arial"/>
          <w:bCs/>
          <w:sz w:val="20"/>
          <w:szCs w:val="20"/>
          <w:shd w:val="clear" w:color="auto" w:fill="FFFFFF"/>
        </w:rPr>
        <w:t>The prognosis was historically guarded with only 40% of cats reported</w:t>
      </w:r>
      <w:r>
        <w:rPr>
          <w:rFonts w:ascii="Arial" w:hAnsi="Arial" w:cs="Arial"/>
          <w:bCs/>
          <w:sz w:val="20"/>
          <w:szCs w:val="20"/>
          <w:shd w:val="clear" w:color="auto" w:fill="FFFFFF"/>
        </w:rPr>
        <w:t xml:space="preserve"> to respond to treatment</w:t>
      </w:r>
      <w:r w:rsidRPr="003316DC">
        <w:rPr>
          <w:rFonts w:ascii="Arial" w:hAnsi="Arial" w:cs="Arial"/>
          <w:bCs/>
          <w:sz w:val="20"/>
          <w:szCs w:val="20"/>
          <w:shd w:val="clear" w:color="auto" w:fill="FFFFFF"/>
        </w:rPr>
        <w:t>. However</w:t>
      </w:r>
      <w:r>
        <w:rPr>
          <w:rFonts w:ascii="Arial" w:hAnsi="Arial" w:cs="Arial"/>
          <w:bCs/>
          <w:sz w:val="20"/>
          <w:szCs w:val="20"/>
          <w:shd w:val="clear" w:color="auto" w:fill="FFFFFF"/>
        </w:rPr>
        <w:t>,</w:t>
      </w:r>
      <w:r w:rsidRPr="003316DC">
        <w:rPr>
          <w:rFonts w:ascii="Arial" w:hAnsi="Arial" w:cs="Arial"/>
          <w:bCs/>
          <w:sz w:val="20"/>
          <w:szCs w:val="20"/>
          <w:shd w:val="clear" w:color="auto" w:fill="FFFFFF"/>
        </w:rPr>
        <w:t xml:space="preserve"> with the implementation of the outlined treatment the prognosis has improved to nearly 80% of cats with MTBC infections causing skin lesions and/or </w:t>
      </w:r>
      <w:proofErr w:type="spellStart"/>
      <w:r w:rsidRPr="003316DC">
        <w:rPr>
          <w:rFonts w:ascii="Arial" w:hAnsi="Arial" w:cs="Arial"/>
          <w:bCs/>
          <w:sz w:val="20"/>
          <w:szCs w:val="20"/>
          <w:shd w:val="clear" w:color="auto" w:fill="FFFFFF"/>
        </w:rPr>
        <w:t>lymphadenomegaly</w:t>
      </w:r>
      <w:proofErr w:type="spellEnd"/>
      <w:r w:rsidRPr="003316DC">
        <w:rPr>
          <w:rFonts w:ascii="Arial" w:hAnsi="Arial" w:cs="Arial"/>
          <w:bCs/>
          <w:sz w:val="20"/>
          <w:szCs w:val="20"/>
          <w:shd w:val="clear" w:color="auto" w:fill="FFFFFF"/>
        </w:rPr>
        <w:t xml:space="preserve">, even with secondary pulmonary spread. </w:t>
      </w:r>
    </w:p>
    <w:p w14:paraId="14582AAD" w14:textId="77777777" w:rsidR="00D60D7F" w:rsidRDefault="00D60D7F" w:rsidP="00D60D7F">
      <w:pPr>
        <w:spacing w:after="0" w:line="360" w:lineRule="auto"/>
        <w:rPr>
          <w:rFonts w:ascii="Arial" w:hAnsi="Arial" w:cs="Arial"/>
          <w:bCs/>
          <w:sz w:val="20"/>
          <w:szCs w:val="20"/>
          <w:shd w:val="clear" w:color="auto" w:fill="FFFFFF"/>
        </w:rPr>
      </w:pPr>
    </w:p>
    <w:p w14:paraId="2CCCC6B5" w14:textId="1569DA89" w:rsidR="00D60D7F" w:rsidRDefault="00D60D7F" w:rsidP="00D60D7F">
      <w:pPr>
        <w:spacing w:after="0" w:line="360" w:lineRule="auto"/>
        <w:rPr>
          <w:rFonts w:ascii="Arial" w:hAnsi="Arial" w:cs="Arial"/>
          <w:bCs/>
          <w:sz w:val="20"/>
          <w:szCs w:val="20"/>
          <w:shd w:val="clear" w:color="auto" w:fill="FFFFFF"/>
        </w:rPr>
      </w:pPr>
      <w:r w:rsidRPr="003316DC">
        <w:rPr>
          <w:rFonts w:ascii="Arial" w:hAnsi="Arial" w:cs="Arial"/>
          <w:bCs/>
          <w:sz w:val="20"/>
          <w:szCs w:val="20"/>
          <w:shd w:val="clear" w:color="auto" w:fill="FFFFFF"/>
        </w:rPr>
        <w:t>The MAC group of organisms are more resistant to treatment, likely due to inherent drug resistance patterns so the prognosis is more guarded with only 50-60% of cases achieving clinical remission and typically with longer courses of treatment (usually at least six months</w:t>
      </w:r>
      <w:r>
        <w:rPr>
          <w:rFonts w:ascii="Arial" w:hAnsi="Arial" w:cs="Arial"/>
          <w:bCs/>
          <w:sz w:val="20"/>
          <w:szCs w:val="20"/>
          <w:shd w:val="clear" w:color="auto" w:fill="FFFFFF"/>
        </w:rPr>
        <w:t xml:space="preserve"> but sometimes in excess of 12 months is needed</w:t>
      </w:r>
      <w:r w:rsidRPr="003316DC">
        <w:rPr>
          <w:rFonts w:ascii="Arial" w:hAnsi="Arial" w:cs="Arial"/>
          <w:bCs/>
          <w:sz w:val="20"/>
          <w:szCs w:val="20"/>
          <w:shd w:val="clear" w:color="auto" w:fill="FFFFFF"/>
        </w:rPr>
        <w:t xml:space="preserve">). </w:t>
      </w:r>
    </w:p>
    <w:p w14:paraId="18F16947" w14:textId="77777777" w:rsidR="00D60D7F" w:rsidRPr="003316DC" w:rsidRDefault="00D60D7F" w:rsidP="00D60D7F">
      <w:pPr>
        <w:spacing w:after="0" w:line="360" w:lineRule="auto"/>
        <w:rPr>
          <w:rFonts w:ascii="Arial" w:hAnsi="Arial" w:cs="Arial"/>
          <w:bCs/>
          <w:sz w:val="20"/>
          <w:szCs w:val="20"/>
          <w:shd w:val="clear" w:color="auto" w:fill="FFFFFF"/>
        </w:rPr>
      </w:pPr>
    </w:p>
    <w:p w14:paraId="46EFE45F" w14:textId="77777777" w:rsidR="00D60D7F" w:rsidRPr="003316DC" w:rsidRDefault="00D60D7F" w:rsidP="00D60D7F">
      <w:pPr>
        <w:spacing w:after="0" w:line="360" w:lineRule="auto"/>
        <w:rPr>
          <w:rFonts w:ascii="Arial" w:hAnsi="Arial" w:cs="Arial"/>
          <w:b/>
          <w:sz w:val="20"/>
          <w:szCs w:val="20"/>
          <w:shd w:val="clear" w:color="auto" w:fill="FFFFFF"/>
        </w:rPr>
      </w:pPr>
      <w:r w:rsidRPr="003316DC">
        <w:rPr>
          <w:rFonts w:ascii="Arial" w:hAnsi="Arial" w:cs="Arial"/>
          <w:b/>
          <w:sz w:val="20"/>
          <w:szCs w:val="20"/>
          <w:shd w:val="clear" w:color="auto" w:fill="FFFFFF"/>
        </w:rPr>
        <w:t xml:space="preserve">Zoonotic Considerations </w:t>
      </w:r>
    </w:p>
    <w:p w14:paraId="7C18E973" w14:textId="0060826B" w:rsidR="00D60D7F" w:rsidRDefault="00D60D7F" w:rsidP="00D60D7F">
      <w:pPr>
        <w:spacing w:after="0" w:line="360" w:lineRule="auto"/>
        <w:rPr>
          <w:rFonts w:ascii="Arial" w:hAnsi="Arial" w:cs="Arial"/>
          <w:sz w:val="20"/>
          <w:szCs w:val="20"/>
          <w:shd w:val="clear" w:color="auto" w:fill="FFFFFF"/>
        </w:rPr>
      </w:pPr>
      <w:r w:rsidRPr="003316DC">
        <w:rPr>
          <w:rFonts w:ascii="Arial" w:hAnsi="Arial" w:cs="Arial"/>
          <w:sz w:val="20"/>
          <w:szCs w:val="20"/>
          <w:shd w:val="clear" w:color="auto" w:fill="FFFFFF"/>
        </w:rPr>
        <w:t>Before beginning treatment, it is important to ensure that owners and persons in close contact with the patient are fully informed of, and clearly understand the potential zoonotic risks associated with being in contact with an infected animal. The greatest risk is posed by members of the MTBC of mycobacteria:</w:t>
      </w:r>
    </w:p>
    <w:p w14:paraId="1177EA23" w14:textId="77777777" w:rsidR="00D60D7F" w:rsidRPr="003316DC" w:rsidRDefault="00D60D7F" w:rsidP="00D60D7F">
      <w:pPr>
        <w:spacing w:after="0" w:line="360" w:lineRule="auto"/>
        <w:rPr>
          <w:rFonts w:ascii="Arial" w:hAnsi="Arial" w:cs="Arial"/>
          <w:sz w:val="20"/>
          <w:szCs w:val="20"/>
          <w:shd w:val="clear" w:color="auto" w:fill="FFFFFF"/>
        </w:rPr>
      </w:pPr>
    </w:p>
    <w:p w14:paraId="62C0D1EB" w14:textId="57D7A3DD" w:rsidR="00D60D7F" w:rsidRPr="00D60D7F" w:rsidRDefault="00D60D7F" w:rsidP="00D60D7F">
      <w:pPr>
        <w:pStyle w:val="ListParagraph"/>
        <w:numPr>
          <w:ilvl w:val="0"/>
          <w:numId w:val="3"/>
        </w:numPr>
        <w:spacing w:after="0" w:line="360" w:lineRule="auto"/>
        <w:rPr>
          <w:rFonts w:ascii="Arial" w:hAnsi="Arial" w:cs="Arial"/>
          <w:sz w:val="20"/>
          <w:szCs w:val="20"/>
          <w:shd w:val="clear" w:color="auto" w:fill="FFFFFF"/>
        </w:rPr>
      </w:pPr>
      <w:r w:rsidRPr="00D60D7F">
        <w:rPr>
          <w:rFonts w:ascii="Arial" w:hAnsi="Arial" w:cs="Arial"/>
          <w:i/>
          <w:sz w:val="20"/>
          <w:szCs w:val="20"/>
          <w:shd w:val="clear" w:color="auto" w:fill="FFFFFF"/>
        </w:rPr>
        <w:t>M. tuberculosis</w:t>
      </w:r>
      <w:r w:rsidRPr="00D60D7F">
        <w:rPr>
          <w:rFonts w:ascii="Arial" w:hAnsi="Arial" w:cs="Arial"/>
          <w:sz w:val="20"/>
          <w:szCs w:val="20"/>
          <w:shd w:val="clear" w:color="auto" w:fill="FFFFFF"/>
        </w:rPr>
        <w:t xml:space="preserve">: Though rare, infection with </w:t>
      </w:r>
      <w:r w:rsidRPr="00D60D7F">
        <w:rPr>
          <w:rFonts w:ascii="Arial" w:hAnsi="Arial" w:cs="Arial"/>
          <w:i/>
          <w:sz w:val="20"/>
          <w:szCs w:val="20"/>
          <w:shd w:val="clear" w:color="auto" w:fill="FFFFFF"/>
        </w:rPr>
        <w:t>M. tuberculosis</w:t>
      </w:r>
      <w:r w:rsidRPr="00D60D7F">
        <w:rPr>
          <w:rFonts w:ascii="Arial" w:hAnsi="Arial" w:cs="Arial"/>
          <w:sz w:val="20"/>
          <w:szCs w:val="20"/>
          <w:shd w:val="clear" w:color="auto" w:fill="FFFFFF"/>
        </w:rPr>
        <w:t xml:space="preserve"> would be considered a significant zoonotic risk. Finding an infected canine should trigger a search for a possible infecting human. Infected animals should be </w:t>
      </w:r>
      <w:proofErr w:type="spellStart"/>
      <w:r w:rsidRPr="00D60D7F">
        <w:rPr>
          <w:rFonts w:ascii="Arial" w:hAnsi="Arial" w:cs="Arial"/>
          <w:sz w:val="20"/>
          <w:szCs w:val="20"/>
          <w:shd w:val="clear" w:color="auto" w:fill="FFFFFF"/>
        </w:rPr>
        <w:t>euthanased</w:t>
      </w:r>
      <w:proofErr w:type="spellEnd"/>
      <w:r w:rsidRPr="00D60D7F">
        <w:rPr>
          <w:rFonts w:ascii="Arial" w:hAnsi="Arial" w:cs="Arial"/>
          <w:sz w:val="20"/>
          <w:szCs w:val="20"/>
          <w:shd w:val="clear" w:color="auto" w:fill="FFFFFF"/>
        </w:rPr>
        <w:t xml:space="preserve"> and their bodies cremated (not buried).</w:t>
      </w:r>
    </w:p>
    <w:p w14:paraId="1A420901" w14:textId="539602BF" w:rsidR="00D60D7F" w:rsidRPr="00D60D7F" w:rsidRDefault="00D60D7F" w:rsidP="00D60D7F">
      <w:pPr>
        <w:pStyle w:val="ListParagraph"/>
        <w:numPr>
          <w:ilvl w:val="0"/>
          <w:numId w:val="3"/>
        </w:numPr>
        <w:spacing w:after="0" w:line="360" w:lineRule="auto"/>
        <w:rPr>
          <w:rFonts w:ascii="Arial" w:hAnsi="Arial" w:cs="Arial"/>
          <w:sz w:val="20"/>
          <w:szCs w:val="20"/>
          <w:shd w:val="clear" w:color="auto" w:fill="FFFFFF"/>
        </w:rPr>
      </w:pPr>
      <w:r w:rsidRPr="00D60D7F">
        <w:rPr>
          <w:rFonts w:ascii="Arial" w:hAnsi="Arial" w:cs="Arial"/>
          <w:i/>
          <w:sz w:val="20"/>
          <w:szCs w:val="20"/>
          <w:shd w:val="clear" w:color="auto" w:fill="FFFFFF"/>
        </w:rPr>
        <w:t xml:space="preserve">M. </w:t>
      </w:r>
      <w:proofErr w:type="spellStart"/>
      <w:r w:rsidRPr="00D60D7F">
        <w:rPr>
          <w:rFonts w:ascii="Arial" w:hAnsi="Arial" w:cs="Arial"/>
          <w:i/>
          <w:sz w:val="20"/>
          <w:szCs w:val="20"/>
          <w:shd w:val="clear" w:color="auto" w:fill="FFFFFF"/>
        </w:rPr>
        <w:t>bovis</w:t>
      </w:r>
      <w:proofErr w:type="spellEnd"/>
      <w:r w:rsidRPr="00D60D7F">
        <w:rPr>
          <w:rFonts w:ascii="Arial" w:hAnsi="Arial" w:cs="Arial"/>
          <w:sz w:val="20"/>
          <w:szCs w:val="20"/>
          <w:shd w:val="clear" w:color="auto" w:fill="FFFFFF"/>
        </w:rPr>
        <w:t xml:space="preserve">: Currently, only ~1% of human tuberculosis cases in the UK are caused by </w:t>
      </w:r>
      <w:r w:rsidRPr="00D60D7F">
        <w:rPr>
          <w:rFonts w:ascii="Arial" w:hAnsi="Arial" w:cs="Arial"/>
          <w:i/>
          <w:sz w:val="20"/>
          <w:szCs w:val="20"/>
          <w:shd w:val="clear" w:color="auto" w:fill="FFFFFF"/>
        </w:rPr>
        <w:t xml:space="preserve">M. </w:t>
      </w:r>
      <w:proofErr w:type="spellStart"/>
      <w:r w:rsidRPr="00D60D7F">
        <w:rPr>
          <w:rFonts w:ascii="Arial" w:hAnsi="Arial" w:cs="Arial"/>
          <w:i/>
          <w:sz w:val="20"/>
          <w:szCs w:val="20"/>
          <w:shd w:val="clear" w:color="auto" w:fill="FFFFFF"/>
        </w:rPr>
        <w:t>bovis</w:t>
      </w:r>
      <w:proofErr w:type="spellEnd"/>
      <w:r w:rsidRPr="00D60D7F">
        <w:rPr>
          <w:rFonts w:ascii="Arial" w:hAnsi="Arial" w:cs="Arial"/>
          <w:sz w:val="20"/>
          <w:szCs w:val="20"/>
          <w:shd w:val="clear" w:color="auto" w:fill="FFFFFF"/>
        </w:rPr>
        <w:t xml:space="preserve"> infection. The rare cases of human </w:t>
      </w:r>
      <w:r w:rsidRPr="00D60D7F">
        <w:rPr>
          <w:rFonts w:ascii="Arial" w:hAnsi="Arial" w:cs="Arial"/>
          <w:i/>
          <w:sz w:val="20"/>
          <w:szCs w:val="20"/>
          <w:shd w:val="clear" w:color="auto" w:fill="FFFFFF"/>
        </w:rPr>
        <w:t xml:space="preserve">M. </w:t>
      </w:r>
      <w:proofErr w:type="spellStart"/>
      <w:r w:rsidRPr="00D60D7F">
        <w:rPr>
          <w:rFonts w:ascii="Arial" w:hAnsi="Arial" w:cs="Arial"/>
          <w:i/>
          <w:sz w:val="20"/>
          <w:szCs w:val="20"/>
          <w:shd w:val="clear" w:color="auto" w:fill="FFFFFF"/>
        </w:rPr>
        <w:t>bovis</w:t>
      </w:r>
      <w:proofErr w:type="spellEnd"/>
      <w:r w:rsidRPr="00D60D7F">
        <w:rPr>
          <w:rFonts w:ascii="Arial" w:hAnsi="Arial" w:cs="Arial"/>
          <w:sz w:val="20"/>
          <w:szCs w:val="20"/>
          <w:shd w:val="clear" w:color="auto" w:fill="FFFFFF"/>
        </w:rPr>
        <w:t xml:space="preserve"> TB that have resulted from exposure to cats have occurred where the cats have had skin lesions discharging purulent material containing many organisms. The Health Security Agency consider the risk to humans from </w:t>
      </w:r>
      <w:r w:rsidRPr="00D60D7F">
        <w:rPr>
          <w:rFonts w:ascii="Arial" w:hAnsi="Arial" w:cs="Arial"/>
          <w:i/>
          <w:sz w:val="20"/>
          <w:szCs w:val="20"/>
          <w:shd w:val="clear" w:color="auto" w:fill="FFFFFF"/>
        </w:rPr>
        <w:t xml:space="preserve">M. </w:t>
      </w:r>
      <w:proofErr w:type="spellStart"/>
      <w:r w:rsidRPr="00D60D7F">
        <w:rPr>
          <w:rFonts w:ascii="Arial" w:hAnsi="Arial" w:cs="Arial"/>
          <w:i/>
          <w:sz w:val="20"/>
          <w:szCs w:val="20"/>
          <w:shd w:val="clear" w:color="auto" w:fill="FFFFFF"/>
        </w:rPr>
        <w:t>bovis</w:t>
      </w:r>
      <w:proofErr w:type="spellEnd"/>
      <w:r w:rsidRPr="00D60D7F">
        <w:rPr>
          <w:rFonts w:ascii="Arial" w:hAnsi="Arial" w:cs="Arial"/>
          <w:sz w:val="20"/>
          <w:szCs w:val="20"/>
          <w:shd w:val="clear" w:color="auto" w:fill="FFFFFF"/>
        </w:rPr>
        <w:t xml:space="preserve"> infected pets to be “very low”. That said, the risk is still present and should be considered seriously in the context of humans with specific risk factors for transmission (see below) and the clinical signs present. Extensive and/or purulent lesions pose the greatest risk to human health and are generally less responsive to treatment. By comparison, single non-ulcerated skin lesions and/or regional lymphadenopathy carry very low zoonotic risk and may be very amenable to treatment.</w:t>
      </w:r>
    </w:p>
    <w:p w14:paraId="72601CAA" w14:textId="55DD8C35" w:rsidR="00D60D7F" w:rsidRPr="00D60D7F" w:rsidRDefault="00D60D7F" w:rsidP="00D60D7F">
      <w:pPr>
        <w:pStyle w:val="ListParagraph"/>
        <w:numPr>
          <w:ilvl w:val="0"/>
          <w:numId w:val="3"/>
        </w:numPr>
        <w:spacing w:after="0" w:line="360" w:lineRule="auto"/>
        <w:rPr>
          <w:rFonts w:ascii="Arial" w:hAnsi="Arial" w:cs="Arial"/>
          <w:sz w:val="20"/>
          <w:szCs w:val="20"/>
          <w:shd w:val="clear" w:color="auto" w:fill="FFFFFF"/>
        </w:rPr>
      </w:pPr>
      <w:r w:rsidRPr="00D60D7F">
        <w:rPr>
          <w:rFonts w:ascii="Arial" w:hAnsi="Arial" w:cs="Arial"/>
          <w:i/>
          <w:sz w:val="20"/>
          <w:szCs w:val="20"/>
          <w:shd w:val="clear" w:color="auto" w:fill="FFFFFF"/>
        </w:rPr>
        <w:t xml:space="preserve">M. </w:t>
      </w:r>
      <w:proofErr w:type="spellStart"/>
      <w:r w:rsidRPr="00D60D7F">
        <w:rPr>
          <w:rFonts w:ascii="Arial" w:hAnsi="Arial" w:cs="Arial"/>
          <w:i/>
          <w:sz w:val="20"/>
          <w:szCs w:val="20"/>
          <w:shd w:val="clear" w:color="auto" w:fill="FFFFFF"/>
        </w:rPr>
        <w:t>microti</w:t>
      </w:r>
      <w:proofErr w:type="spellEnd"/>
      <w:r w:rsidRPr="00D60D7F">
        <w:rPr>
          <w:rFonts w:ascii="Arial" w:hAnsi="Arial" w:cs="Arial"/>
          <w:sz w:val="20"/>
          <w:szCs w:val="20"/>
          <w:shd w:val="clear" w:color="auto" w:fill="FFFFFF"/>
        </w:rPr>
        <w:t xml:space="preserve">: The risk to humans of M. </w:t>
      </w:r>
      <w:proofErr w:type="spellStart"/>
      <w:r w:rsidRPr="00D60D7F">
        <w:rPr>
          <w:rFonts w:ascii="Arial" w:hAnsi="Arial" w:cs="Arial"/>
          <w:sz w:val="20"/>
          <w:szCs w:val="20"/>
          <w:shd w:val="clear" w:color="auto" w:fill="FFFFFF"/>
        </w:rPr>
        <w:t>microti</w:t>
      </w:r>
      <w:proofErr w:type="spellEnd"/>
      <w:r w:rsidRPr="00D60D7F">
        <w:rPr>
          <w:rFonts w:ascii="Arial" w:hAnsi="Arial" w:cs="Arial"/>
          <w:sz w:val="20"/>
          <w:szCs w:val="20"/>
          <w:shd w:val="clear" w:color="auto" w:fill="FFFFFF"/>
        </w:rPr>
        <w:t xml:space="preserve"> is significantly lower than that of </w:t>
      </w:r>
      <w:r w:rsidRPr="00D60D7F">
        <w:rPr>
          <w:rFonts w:ascii="Arial" w:hAnsi="Arial" w:cs="Arial"/>
          <w:i/>
          <w:sz w:val="20"/>
          <w:szCs w:val="20"/>
          <w:shd w:val="clear" w:color="auto" w:fill="FFFFFF"/>
        </w:rPr>
        <w:t xml:space="preserve">M. </w:t>
      </w:r>
      <w:proofErr w:type="spellStart"/>
      <w:r w:rsidRPr="00D60D7F">
        <w:rPr>
          <w:rFonts w:ascii="Arial" w:hAnsi="Arial" w:cs="Arial"/>
          <w:i/>
          <w:sz w:val="20"/>
          <w:szCs w:val="20"/>
          <w:shd w:val="clear" w:color="auto" w:fill="FFFFFF"/>
        </w:rPr>
        <w:t>bovis</w:t>
      </w:r>
      <w:proofErr w:type="spellEnd"/>
      <w:r w:rsidRPr="00D60D7F">
        <w:rPr>
          <w:rFonts w:ascii="Arial" w:hAnsi="Arial" w:cs="Arial"/>
          <w:sz w:val="20"/>
          <w:szCs w:val="20"/>
          <w:shd w:val="clear" w:color="auto" w:fill="FFFFFF"/>
        </w:rPr>
        <w:t>. Very few human cases of infection with this organism have ever been reported and none have been shown to have resulted from exposure to an infected cat or dog.</w:t>
      </w:r>
    </w:p>
    <w:p w14:paraId="6C389387" w14:textId="4FC2C6F5" w:rsidR="00D60D7F" w:rsidRPr="00D60D7F" w:rsidRDefault="00D60D7F" w:rsidP="00D60D7F">
      <w:pPr>
        <w:pStyle w:val="ListParagraph"/>
        <w:numPr>
          <w:ilvl w:val="0"/>
          <w:numId w:val="3"/>
        </w:numPr>
        <w:spacing w:after="0" w:line="360" w:lineRule="auto"/>
        <w:rPr>
          <w:rFonts w:ascii="Arial" w:hAnsi="Arial" w:cs="Arial"/>
          <w:sz w:val="20"/>
          <w:szCs w:val="20"/>
          <w:shd w:val="clear" w:color="auto" w:fill="FFFFFF"/>
        </w:rPr>
      </w:pPr>
      <w:r w:rsidRPr="00D60D7F">
        <w:rPr>
          <w:rFonts w:ascii="Arial" w:hAnsi="Arial" w:cs="Arial"/>
          <w:i/>
          <w:sz w:val="20"/>
          <w:szCs w:val="20"/>
          <w:shd w:val="clear" w:color="auto" w:fill="FFFFFF"/>
        </w:rPr>
        <w:t>MAC</w:t>
      </w:r>
      <w:r w:rsidRPr="00D60D7F">
        <w:rPr>
          <w:rFonts w:ascii="Arial" w:hAnsi="Arial" w:cs="Arial"/>
          <w:sz w:val="20"/>
          <w:szCs w:val="20"/>
          <w:shd w:val="clear" w:color="auto" w:fill="FFFFFF"/>
        </w:rPr>
        <w:t>: Whilst not members of the MTBC, this group of organisms can infect humans in the presence of specific risk factors (see below) – again, none have been shown to have resulted from exposure to an infected companion animal.</w:t>
      </w:r>
    </w:p>
    <w:p w14:paraId="51807FED" w14:textId="77777777" w:rsidR="00D60D7F" w:rsidRPr="003316DC" w:rsidRDefault="00D60D7F" w:rsidP="00D60D7F">
      <w:pPr>
        <w:spacing w:after="0" w:line="360" w:lineRule="auto"/>
        <w:rPr>
          <w:rFonts w:ascii="Arial" w:hAnsi="Arial" w:cs="Arial"/>
          <w:sz w:val="20"/>
          <w:szCs w:val="20"/>
          <w:shd w:val="clear" w:color="auto" w:fill="FFFFFF"/>
        </w:rPr>
      </w:pPr>
      <w:r w:rsidRPr="003316DC">
        <w:rPr>
          <w:rFonts w:ascii="Arial" w:hAnsi="Arial" w:cs="Arial"/>
          <w:sz w:val="20"/>
          <w:szCs w:val="20"/>
          <w:shd w:val="clear" w:color="auto" w:fill="FFFFFF"/>
        </w:rPr>
        <w:lastRenderedPageBreak/>
        <w:t>The following list of risk factors has been compiled from advice published by public health organisations from across the UK and WHO guidelines. Humans are considered at heightened risk if they:</w:t>
      </w:r>
    </w:p>
    <w:p w14:paraId="49B897DD" w14:textId="764F72B7"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are under five years old (some sources suggest 12 years)</w:t>
      </w:r>
    </w:p>
    <w:p w14:paraId="49A6E149" w14:textId="5A06D44D"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are pregnant</w:t>
      </w:r>
    </w:p>
    <w:p w14:paraId="221D8BDB" w14:textId="31A474D2"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are HIV-positive</w:t>
      </w:r>
    </w:p>
    <w:p w14:paraId="628B1E55" w14:textId="1E7A90A4"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suffer from substance misuse</w:t>
      </w:r>
    </w:p>
    <w:p w14:paraId="0E17918D" w14:textId="49EEA67B"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have been diagnosed with diabetes mellitus</w:t>
      </w:r>
    </w:p>
    <w:p w14:paraId="39378C90" w14:textId="22EEFA6F"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suffer (severe) kidney disease</w:t>
      </w:r>
    </w:p>
    <w:p w14:paraId="23184EF3" w14:textId="51F2D032"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 xml:space="preserve">have ever received a solid organ transplant </w:t>
      </w:r>
    </w:p>
    <w:p w14:paraId="7699838F" w14:textId="1544EA02"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 xml:space="preserve">are a cancer patient receiving chemotherapy or radiation </w:t>
      </w:r>
      <w:proofErr w:type="gramStart"/>
      <w:r w:rsidRPr="00D60D7F">
        <w:rPr>
          <w:rFonts w:ascii="Arial" w:hAnsi="Arial" w:cs="Arial"/>
          <w:sz w:val="20"/>
          <w:szCs w:val="20"/>
          <w:shd w:val="clear" w:color="auto" w:fill="FFFFFF"/>
        </w:rPr>
        <w:t>therapy</w:t>
      </w:r>
      <w:proofErr w:type="gramEnd"/>
    </w:p>
    <w:p w14:paraId="7A59097E" w14:textId="06EEE377"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have any medical condition requiring treatment with systemic corticosteroids</w:t>
      </w:r>
    </w:p>
    <w:p w14:paraId="44CE336A" w14:textId="0697F8A8" w:rsidR="00D60D7F" w:rsidRP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require specialized treatment for rheumatoid arthritis or Crohn’s disease</w:t>
      </w:r>
    </w:p>
    <w:p w14:paraId="3597411A" w14:textId="06E9D9DB" w:rsidR="00D60D7F" w:rsidRDefault="00D60D7F" w:rsidP="00D60D7F">
      <w:pPr>
        <w:pStyle w:val="ListParagraph"/>
        <w:numPr>
          <w:ilvl w:val="1"/>
          <w:numId w:val="3"/>
        </w:numPr>
        <w:spacing w:after="0" w:line="360" w:lineRule="auto"/>
        <w:ind w:left="567" w:hanging="283"/>
        <w:rPr>
          <w:rFonts w:ascii="Arial" w:hAnsi="Arial" w:cs="Arial"/>
          <w:sz w:val="20"/>
          <w:szCs w:val="20"/>
          <w:shd w:val="clear" w:color="auto" w:fill="FFFFFF"/>
        </w:rPr>
      </w:pPr>
      <w:r w:rsidRPr="00D60D7F">
        <w:rPr>
          <w:rFonts w:ascii="Arial" w:hAnsi="Arial" w:cs="Arial"/>
          <w:sz w:val="20"/>
          <w:szCs w:val="20"/>
          <w:shd w:val="clear" w:color="auto" w:fill="FFFFFF"/>
        </w:rPr>
        <w:t>are receiving tumour necrosis factor alpha (TNF-α) inhibitors</w:t>
      </w:r>
      <w:r>
        <w:rPr>
          <w:rFonts w:ascii="Arial" w:hAnsi="Arial" w:cs="Arial"/>
          <w:sz w:val="20"/>
          <w:szCs w:val="20"/>
          <w:shd w:val="clear" w:color="auto" w:fill="FFFFFF"/>
        </w:rPr>
        <w:t>.</w:t>
      </w:r>
    </w:p>
    <w:p w14:paraId="54575A7C" w14:textId="77777777" w:rsidR="00D60D7F" w:rsidRPr="00D60D7F" w:rsidRDefault="00D60D7F" w:rsidP="00D60D7F">
      <w:pPr>
        <w:pStyle w:val="ListParagraph"/>
        <w:spacing w:after="0" w:line="360" w:lineRule="auto"/>
        <w:ind w:left="567"/>
        <w:rPr>
          <w:rFonts w:ascii="Arial" w:hAnsi="Arial" w:cs="Arial"/>
          <w:sz w:val="20"/>
          <w:szCs w:val="20"/>
          <w:shd w:val="clear" w:color="auto" w:fill="FFFFFF"/>
        </w:rPr>
      </w:pPr>
    </w:p>
    <w:p w14:paraId="06A942E3" w14:textId="77777777" w:rsidR="00D60D7F" w:rsidRPr="003316DC" w:rsidRDefault="00D60D7F" w:rsidP="00D60D7F">
      <w:pPr>
        <w:spacing w:after="0" w:line="360" w:lineRule="auto"/>
        <w:rPr>
          <w:rFonts w:ascii="Arial" w:hAnsi="Arial" w:cs="Arial"/>
          <w:sz w:val="20"/>
          <w:szCs w:val="20"/>
          <w:shd w:val="clear" w:color="auto" w:fill="FFFFFF"/>
        </w:rPr>
      </w:pPr>
      <w:r w:rsidRPr="003316DC">
        <w:rPr>
          <w:rFonts w:ascii="Arial" w:hAnsi="Arial" w:cs="Arial"/>
          <w:sz w:val="20"/>
          <w:szCs w:val="20"/>
          <w:shd w:val="clear" w:color="auto" w:fill="FFFFFF"/>
        </w:rPr>
        <w:t>In any of the above situations, owners and veterinarians are strongly discouraged away from animal treatment.</w:t>
      </w:r>
    </w:p>
    <w:p w14:paraId="2677BA09" w14:textId="77777777" w:rsidR="00D60D7F" w:rsidRDefault="00D60D7F" w:rsidP="00D60D7F">
      <w:pPr>
        <w:spacing w:after="0" w:line="360" w:lineRule="auto"/>
      </w:pPr>
    </w:p>
    <w:p w14:paraId="5999EF2D" w14:textId="77777777" w:rsidR="00F91FC4" w:rsidRDefault="003B669F" w:rsidP="00D60D7F">
      <w:pPr>
        <w:spacing w:after="0" w:line="360" w:lineRule="auto"/>
      </w:pPr>
    </w:p>
    <w:sectPr w:rsidR="00F91F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F2C3" w14:textId="77777777" w:rsidR="003B669F" w:rsidRDefault="003B669F" w:rsidP="00AA5070">
      <w:pPr>
        <w:spacing w:after="0" w:line="240" w:lineRule="auto"/>
      </w:pPr>
      <w:r>
        <w:separator/>
      </w:r>
    </w:p>
  </w:endnote>
  <w:endnote w:type="continuationSeparator" w:id="0">
    <w:p w14:paraId="3480985E" w14:textId="77777777" w:rsidR="003B669F" w:rsidRDefault="003B669F" w:rsidP="00AA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5AE1" w14:textId="68044EEE" w:rsidR="00AA5070" w:rsidRDefault="00AA5070">
    <w:pPr>
      <w:pStyle w:val="Footer"/>
    </w:pPr>
    <w:r>
      <w:t>University of Edinburgh</w:t>
    </w:r>
  </w:p>
  <w:p w14:paraId="1C4ED002" w14:textId="77777777" w:rsidR="00AA5070" w:rsidRDefault="00AA5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E5DD0" w14:textId="77777777" w:rsidR="003B669F" w:rsidRDefault="003B669F" w:rsidP="00AA5070">
      <w:pPr>
        <w:spacing w:after="0" w:line="240" w:lineRule="auto"/>
      </w:pPr>
      <w:r>
        <w:separator/>
      </w:r>
    </w:p>
  </w:footnote>
  <w:footnote w:type="continuationSeparator" w:id="0">
    <w:p w14:paraId="6D099CC7" w14:textId="77777777" w:rsidR="003B669F" w:rsidRDefault="003B669F" w:rsidP="00AA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712"/>
    <w:multiLevelType w:val="hybridMultilevel"/>
    <w:tmpl w:val="C1DE1CB4"/>
    <w:lvl w:ilvl="0" w:tplc="08090001">
      <w:start w:val="1"/>
      <w:numFmt w:val="bullet"/>
      <w:lvlText w:val=""/>
      <w:lvlJc w:val="left"/>
      <w:pPr>
        <w:ind w:left="720" w:hanging="360"/>
      </w:pPr>
      <w:rPr>
        <w:rFonts w:ascii="Symbol" w:hAnsi="Symbol" w:hint="default"/>
      </w:rPr>
    </w:lvl>
    <w:lvl w:ilvl="1" w:tplc="AF6E7D8C">
      <w:start w:val="13"/>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F55EA"/>
    <w:multiLevelType w:val="hybridMultilevel"/>
    <w:tmpl w:val="6E8C861E"/>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C1A4A"/>
    <w:multiLevelType w:val="hybridMultilevel"/>
    <w:tmpl w:val="8B9A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35F4B"/>
    <w:multiLevelType w:val="hybridMultilevel"/>
    <w:tmpl w:val="2BDC166C"/>
    <w:lvl w:ilvl="0" w:tplc="9C82D81E">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A0"/>
    <w:rsid w:val="000D7863"/>
    <w:rsid w:val="003B669F"/>
    <w:rsid w:val="005B2784"/>
    <w:rsid w:val="009325A0"/>
    <w:rsid w:val="00AA5070"/>
    <w:rsid w:val="00B05AE8"/>
    <w:rsid w:val="00CE6795"/>
    <w:rsid w:val="00D60D7F"/>
    <w:rsid w:val="00E409F0"/>
    <w:rsid w:val="00F1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1EC83"/>
  <w15:chartTrackingRefBased/>
  <w15:docId w15:val="{7F7269A5-3A7C-4DED-A23C-227CAFD7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25A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9325A0"/>
    <w:pPr>
      <w:ind w:left="720"/>
      <w:contextualSpacing/>
    </w:pPr>
  </w:style>
  <w:style w:type="paragraph" w:styleId="Header">
    <w:name w:val="header"/>
    <w:basedOn w:val="Normal"/>
    <w:link w:val="HeaderChar"/>
    <w:uiPriority w:val="99"/>
    <w:unhideWhenUsed/>
    <w:rsid w:val="00AA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70"/>
  </w:style>
  <w:style w:type="paragraph" w:styleId="Footer">
    <w:name w:val="footer"/>
    <w:basedOn w:val="Normal"/>
    <w:link w:val="FooterChar"/>
    <w:uiPriority w:val="99"/>
    <w:unhideWhenUsed/>
    <w:rsid w:val="00AA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70"/>
  </w:style>
  <w:style w:type="paragraph" w:styleId="Title">
    <w:name w:val="Title"/>
    <w:basedOn w:val="Normal"/>
    <w:next w:val="Normal"/>
    <w:link w:val="TitleChar"/>
    <w:uiPriority w:val="10"/>
    <w:qFormat/>
    <w:rsid w:val="00F155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522"/>
    <w:rPr>
      <w:rFonts w:asciiTheme="majorHAnsi" w:eastAsiaTheme="majorEastAsia" w:hAnsiTheme="majorHAnsi" w:cstheme="majorBidi"/>
      <w:spacing w:val="-10"/>
      <w:kern w:val="28"/>
      <w:sz w:val="56"/>
      <w:szCs w:val="56"/>
    </w:rPr>
  </w:style>
  <w:style w:type="table" w:styleId="GridTable1Light">
    <w:name w:val="Grid Table 1 Light"/>
    <w:basedOn w:val="TableNormal"/>
    <w:uiPriority w:val="46"/>
    <w:rsid w:val="00D60D7F"/>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O'Halloran</dc:creator>
  <cp:keywords/>
  <dc:description/>
  <cp:lastModifiedBy>Maggie Bennett</cp:lastModifiedBy>
  <cp:revision>2</cp:revision>
  <dcterms:created xsi:type="dcterms:W3CDTF">2026-06-09T16:03:00Z</dcterms:created>
  <dcterms:modified xsi:type="dcterms:W3CDTF">2026-06-09T16:03:00Z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0ddc0355506632782f6cf2f7142372bfdc77a8d93dd45792ff1394d5ddff8754</vt:lpwstr>
  </property>
</Properties>
</file>